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numPr>
          <w:ilvl w:val="0"/>
          <w:numId w:val="0"/>
        </w:numPr>
        <w:autoSpaceDE/>
        <w:autoSpaceDN/>
        <w:spacing w:before="0" w:after="160" w:line="240" w:lineRule="auto"/>
        <w:ind w:right="0"/>
        <w:jc w:val="both"/>
        <w:rPr>
          <w:rFonts w:hint="default" w:ascii="黑体" w:hAnsi="黑体" w:eastAsia="黑体"/>
          <w:color w:val="auto"/>
          <w:spacing w:val="-6"/>
          <w:position w:val="0"/>
          <w:sz w:val="32"/>
          <w:szCs w:val="32"/>
        </w:rPr>
      </w:pPr>
      <w:r>
        <w:rPr>
          <w:rFonts w:hint="default" w:ascii="黑体" w:hAnsi="黑体" w:eastAsia="黑体"/>
          <w:color w:val="auto"/>
          <w:spacing w:val="-6"/>
          <w:position w:val="0"/>
          <w:sz w:val="32"/>
          <w:szCs w:val="32"/>
        </w:rPr>
        <w:t>附件1</w:t>
      </w:r>
      <w:bookmarkStart w:id="0" w:name="_GoBack"/>
      <w:bookmarkEnd w:id="0"/>
    </w:p>
    <w:tbl>
      <w:tblPr>
        <w:tblStyle w:val="28"/>
        <w:tblpPr w:leftFromText="180" w:rightFromText="180" w:vertAnchor="text" w:horzAnchor="page" w:tblpX="1479" w:tblpY="766"/>
        <w:tblOverlap w:val="never"/>
        <w:tblW w:w="1385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6"/>
        <w:gridCol w:w="1870"/>
        <w:gridCol w:w="555"/>
        <w:gridCol w:w="1980"/>
        <w:gridCol w:w="1335"/>
        <w:gridCol w:w="1335"/>
        <w:gridCol w:w="1425"/>
        <w:gridCol w:w="1655"/>
        <w:gridCol w:w="28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13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</w:rPr>
              <w:t>2019年度行政许可实施情况统计表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制表单位（盖章）：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eastAsia="zh-CN"/>
              </w:rPr>
              <w:t>阿坝州事业单位登记管理局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                                        制表日期：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2020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年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月</w:t>
            </w: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8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19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单位全称</w:t>
            </w:r>
          </w:p>
        </w:tc>
        <w:tc>
          <w:tcPr>
            <w:tcW w:w="57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行政许可实施数量（件）</w:t>
            </w:r>
          </w:p>
        </w:tc>
        <w:tc>
          <w:tcPr>
            <w:tcW w:w="28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撤销许可的数量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8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9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申请数量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受理数量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许可的数量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不予许可的数量</w:t>
            </w:r>
          </w:p>
        </w:tc>
        <w:tc>
          <w:tcPr>
            <w:tcW w:w="28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12513200MB1C45893B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both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阿坝州事业单位登记管理局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2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b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position w:val="0"/>
                <w:sz w:val="24"/>
                <w:szCs w:val="24"/>
                <w:u w:val="none"/>
              </w:rPr>
              <w:t>合计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109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 w:hRule="atLeast"/>
        </w:trPr>
        <w:tc>
          <w:tcPr>
            <w:tcW w:w="138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938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说明：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1. “申请数量”的统计范围为统计年度1月1日至12月31日期间许可机关收到当事人许可申请的数量。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2. “受理数量”、“许可的数量”、“不予许可的数量”、“撤销许可的数量”的统计范围为统计年度1月1日至12月31日期间许可机关作出受理决定、许可决定、不予许可决定的数量，以及撤销许可决定的数量。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3. 准予变更、延续和不予变更、延续的数量，分别计入“许可的数量”、“不予许可的数量”。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240" w:lineRule="auto"/>
        <w:ind w:right="0" w:firstLine="0"/>
        <w:jc w:val="both"/>
        <w:rPr>
          <w:rFonts w:hint="default" w:ascii="仿宋_GB2312" w:hAnsi="仿宋_GB2312" w:eastAsia="仿宋_GB2312"/>
          <w:color w:val="auto"/>
          <w:spacing w:val="-6"/>
          <w:position w:val="0"/>
          <w:sz w:val="32"/>
          <w:szCs w:val="32"/>
        </w:rPr>
      </w:pPr>
      <w:r>
        <w:br w:type="page"/>
      </w:r>
    </w:p>
    <w:tbl>
      <w:tblPr>
        <w:tblStyle w:val="28"/>
        <w:tblpPr w:leftFromText="180" w:rightFromText="180" w:vertAnchor="text" w:horzAnchor="page" w:tblpX="1436" w:tblpY="16"/>
        <w:tblOverlap w:val="never"/>
        <w:tblW w:w="1359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6"/>
        <w:gridCol w:w="762"/>
        <w:gridCol w:w="750"/>
        <w:gridCol w:w="806"/>
        <w:gridCol w:w="806"/>
        <w:gridCol w:w="806"/>
        <w:gridCol w:w="807"/>
        <w:gridCol w:w="806"/>
        <w:gridCol w:w="806"/>
        <w:gridCol w:w="806"/>
        <w:gridCol w:w="806"/>
        <w:gridCol w:w="806"/>
        <w:gridCol w:w="807"/>
        <w:gridCol w:w="806"/>
        <w:gridCol w:w="24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</w:rPr>
              <w:t>2019年度行政处罚实施情况统计表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制表单位（盖章）：                                                                    制表日期：   年   月   日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7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单位全称</w:t>
            </w:r>
          </w:p>
        </w:tc>
        <w:tc>
          <w:tcPr>
            <w:tcW w:w="7256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行政处罚实施数量（件）</w:t>
            </w:r>
          </w:p>
        </w:tc>
        <w:tc>
          <w:tcPr>
            <w:tcW w:w="8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罚没金额（万元）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7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警告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罚款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没收违法所得、没收非法财物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暂扣许可证、执照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责令停产停业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吊销许可证、执照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行政拘留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其他行政处罚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合 计（件）</w:t>
            </w:r>
          </w:p>
        </w:tc>
        <w:tc>
          <w:tcPr>
            <w:tcW w:w="8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12513200MB1C45893B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阿坝州事业单位登记管理局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12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b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b/>
                <w:i w:val="0"/>
                <w:color w:val="000000"/>
                <w:position w:val="0"/>
                <w:sz w:val="24"/>
                <w:szCs w:val="24"/>
                <w:u w:val="none"/>
              </w:rPr>
              <w:t>合计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4"/>
                <w:szCs w:val="24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0</w:t>
            </w:r>
          </w:p>
        </w:tc>
        <w:tc>
          <w:tcPr>
            <w:tcW w:w="2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3594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说明：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1.行政处罚实施数量的统计范围为统计年度1月1日至12月31日期间作出行政处罚决定的数量（包括经行政复议或者行政诉讼被撤销的行政处罚决定数量）。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2.其他行政处罚，为法律、行政法规规定的其他行政处罚，比如通报批评、驱逐出境等。 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3.单处一个类别行政处罚的，计入相应的行政处罚类别；并处两种以上行政处罚的，算一宗行政处罚，计入最重的行政处罚类别。如“没收违法所得，并处罚款”，计入“没收违法所得、没收非法财物”类别；并处明确类别的行政处罚和其他行政处罚的，计入明确类别的行政处罚，如“处罚款，并处其他行政处罚”，计入“罚款”类别。行政处罚类别从轻到重的顺序：（1）警告，（2）罚款，（3）没收违法所得、没收非法财物，（4）暂扣许可证、执照，（5）责令停产停业，（6）吊销许可证、执照，（7）行政拘留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4.没收违法所得、没收非法财物能确定金额的，计入“罚没金额”；不能确定金额的，不计入“罚没金额”。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5.“罚没金额”以处罚决定书确定的金额为准。</w:t>
            </w:r>
          </w:p>
        </w:tc>
      </w:tr>
    </w:tbl>
    <w:tbl>
      <w:tblPr>
        <w:tblStyle w:val="28"/>
        <w:tblpPr w:vertAnchor="text" w:tblpX="67" w:tblpY="20"/>
        <w:tblW w:w="15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710"/>
        <w:gridCol w:w="690"/>
        <w:gridCol w:w="1544"/>
        <w:gridCol w:w="902"/>
        <w:gridCol w:w="961"/>
        <w:gridCol w:w="917"/>
        <w:gridCol w:w="931"/>
        <w:gridCol w:w="873"/>
        <w:gridCol w:w="757"/>
        <w:gridCol w:w="1208"/>
        <w:gridCol w:w="859"/>
        <w:gridCol w:w="713"/>
        <w:gridCol w:w="873"/>
        <w:gridCol w:w="786"/>
        <w:gridCol w:w="10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/>
                <w:i w:val="0"/>
                <w:color w:val="000000"/>
                <w:position w:val="0"/>
                <w:sz w:val="36"/>
                <w:szCs w:val="36"/>
                <w:u w:val="none"/>
              </w:rPr>
              <w:t>2019年度行政强制实施情况统计表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1534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制表单位（盖章）：                                                                         制表日期：   年   月   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7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15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单位全称</w:t>
            </w:r>
          </w:p>
        </w:tc>
        <w:tc>
          <w:tcPr>
            <w:tcW w:w="371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行政强制措施实施数量（件） </w:t>
            </w:r>
          </w:p>
        </w:tc>
        <w:tc>
          <w:tcPr>
            <w:tcW w:w="606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行政强制执行实施数量（件）</w:t>
            </w:r>
          </w:p>
        </w:tc>
        <w:tc>
          <w:tcPr>
            <w:tcW w:w="10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371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52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 行政机关强制执行</w:t>
            </w:r>
          </w:p>
        </w:tc>
        <w:tc>
          <w:tcPr>
            <w:tcW w:w="7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申请法院强制执行</w:t>
            </w:r>
          </w:p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1" w:hRule="atLeast"/>
        </w:trPr>
        <w:tc>
          <w:tcPr>
            <w:tcW w:w="5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7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5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查封场所、设施或者财物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扣押财物 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冻结存款、汇款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其他行政强制措施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加处罚款或者滞纳金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划拨存款、汇款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拍卖或者依法处理查封、扣押的场所、设施或者财物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排除妨害、恢复原状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代履行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其他强制执行方式</w:t>
            </w:r>
          </w:p>
        </w:tc>
        <w:tc>
          <w:tcPr>
            <w:tcW w:w="7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  <w:tc>
          <w:tcPr>
            <w:tcW w:w="10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12513200MB1C45893B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阿坝州事业单位登记管理局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45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</w:rPr>
              <w:t>合计</w:t>
            </w:r>
          </w:p>
        </w:tc>
        <w:tc>
          <w:tcPr>
            <w:tcW w:w="9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10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4" w:hRule="atLeast"/>
        </w:trPr>
        <w:tc>
          <w:tcPr>
            <w:tcW w:w="15340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说明：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1.行政强制措施实施数量的统计范围为统计年度1月1日至12月31日期间作出“查封场所、设施或者财物”、“扣押财物”、“冻结存款、汇款”或者“其他行政强制措施”决定的数量。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.行政强制执行实施数量的统计范围为统计年度1月1日至12月31日期间“加处罚款或者滞纳金”、“划拨存款、汇款”、“拍卖或者依法处理查封、扣押的场所、设施或者财物”、“排除妨碍、恢复原状”、“代履行”和“其他强制执行方式”等执行完毕或者终结执行的数量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3.其他强制执行方式，如《城乡规划法》规定的强制拆除；《煤炭法》规定的强制停产、强制消除安全隐患；《金银管理条例》规定的强制收购；《外汇管理条例》规定的回兑等。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4.申请法院强制执行数量的统计范围为统计年度1月1日至12月31日期间向法院申请强制执行的数量，时间以申请日期为准。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580" w:lineRule="exact"/>
        <w:ind w:right="0" w:firstLine="0"/>
        <w:jc w:val="both"/>
        <w:rPr>
          <w:rFonts w:hint="default" w:ascii="仿宋_GB2312" w:hAnsi="Times New Roman" w:eastAsia="Times New Roman"/>
          <w:color w:val="auto"/>
          <w:position w:val="0"/>
          <w:sz w:val="30"/>
          <w:szCs w:val="30"/>
        </w:rPr>
      </w:pPr>
    </w:p>
    <w:tbl>
      <w:tblPr>
        <w:tblStyle w:val="28"/>
        <w:tblpPr w:leftFromText="180" w:rightFromText="180" w:vertAnchor="text" w:horzAnchor="page" w:tblpX="1341" w:tblpY="325"/>
        <w:tblOverlap w:val="never"/>
        <w:tblW w:w="139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527"/>
        <w:gridCol w:w="2991"/>
        <w:gridCol w:w="3877"/>
        <w:gridCol w:w="4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方正小标宋简体" w:hAnsi="方正小标宋简体" w:eastAsia="方正小标宋简体"/>
                <w:i w:val="0"/>
                <w:color w:val="333333"/>
                <w:position w:val="0"/>
                <w:sz w:val="32"/>
                <w:szCs w:val="32"/>
                <w:u w:val="none"/>
              </w:rPr>
            </w:pPr>
            <w:r>
              <w:rPr>
                <w:rFonts w:hint="default" w:ascii="方正小标宋简体" w:hAnsi="方正小标宋简体" w:eastAsia="方正小标宋简体"/>
                <w:i w:val="0"/>
                <w:color w:val="333333"/>
                <w:position w:val="0"/>
                <w:sz w:val="36"/>
                <w:szCs w:val="36"/>
                <w:u w:val="none"/>
              </w:rPr>
              <w:t>2019年度行政检查实施情况统计表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3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 xml:space="preserve">制表单位（盖章）：                                                       制表日期：   年   月   日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序号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统一社会信用代码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组织机构代码</w:t>
            </w: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单位全称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行政检查次数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1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12513200MB1C45893B</w:t>
            </w: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left="0" w:leftChars="0" w:right="0" w:rightChars="0" w:firstLine="0" w:firstLineChars="0"/>
              <w:jc w:val="center"/>
              <w:rPr>
                <w:rFonts w:hint="default" w:ascii="宋体" w:hAnsi="宋体" w:eastAsia="宋体" w:cs="Times New Roman"/>
                <w:i w:val="0"/>
                <w:color w:val="000000"/>
                <w:w w:val="100"/>
                <w:position w:val="0"/>
                <w:sz w:val="22"/>
                <w:szCs w:val="22"/>
                <w:u w:val="none"/>
                <w:shd w:val="clear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阿坝州事业单位登记管理局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2</w:t>
            </w:r>
          </w:p>
        </w:tc>
        <w:tc>
          <w:tcPr>
            <w:tcW w:w="15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both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91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合计</w:t>
            </w:r>
          </w:p>
        </w:tc>
        <w:tc>
          <w:tcPr>
            <w:tcW w:w="4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center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39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numPr>
                <w:ilvl w:val="0"/>
                <w:numId w:val="0"/>
              </w:numPr>
              <w:autoSpaceDE/>
              <w:autoSpaceDN/>
              <w:spacing w:before="0" w:after="160" w:line="240" w:lineRule="auto"/>
              <w:ind w:right="0" w:firstLine="0"/>
              <w:jc w:val="left"/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</w:pP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说明：</w:t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br w:type="textWrapping" w:clear="all"/>
            </w:r>
            <w:r>
              <w:rPr>
                <w:rFonts w:hint="default" w:ascii="宋体" w:hAnsi="宋体" w:eastAsia="宋体"/>
                <w:i w:val="0"/>
                <w:color w:val="000000"/>
                <w:position w:val="0"/>
                <w:sz w:val="24"/>
                <w:szCs w:val="24"/>
                <w:u w:val="none"/>
              </w:rPr>
              <w:t>行政检查次数的统计范围为统计年度1月1日至12月31日期间开展行政检查的次数。检查1个检查对象，有完整、详细的检查记录，计为检查1次。无特定检查对象的巡查、巡逻，无完整、详细检查记录，检查后作出行政处罚等其他行政执法行为的，均不计为检查次数。</w:t>
            </w:r>
          </w:p>
        </w:tc>
      </w:tr>
    </w:tbl>
    <w:p>
      <w:pPr>
        <w:numPr>
          <w:ilvl w:val="0"/>
          <w:numId w:val="0"/>
        </w:numPr>
        <w:autoSpaceDE/>
        <w:autoSpaceDN/>
        <w:spacing w:before="0" w:after="160" w:line="580" w:lineRule="exact"/>
        <w:ind w:right="0" w:firstLine="0"/>
        <w:jc w:val="both"/>
        <w:rPr>
          <w:rFonts w:hint="default" w:ascii="仿宋_GB2312" w:hAnsi="Times New Roman" w:eastAsia="Times New Roman"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bidi w:val="0"/>
        <w:spacing w:before="0" w:after="160" w:line="240" w:lineRule="auto"/>
        <w:ind w:right="0" w:firstLine="0"/>
        <w:jc w:val="both"/>
        <w:rPr>
          <w:rFonts w:hint="default" w:ascii="Calibri" w:hAnsi="黑体" w:eastAsia="黑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tabs>
          <w:tab w:val="left" w:pos="1531"/>
        </w:tabs>
        <w:autoSpaceDE/>
        <w:autoSpaceDN/>
        <w:bidi w:val="0"/>
        <w:spacing w:before="0" w:after="160" w:line="240" w:lineRule="auto"/>
        <w:ind w:right="0" w:firstLine="0"/>
        <w:jc w:val="left"/>
        <w:rPr>
          <w:rFonts w:hint="default" w:ascii="黑体" w:hAnsi="黑体" w:eastAsia="黑体"/>
          <w:color w:val="auto"/>
          <w:position w:val="0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720" w:right="720" w:bottom="720" w:left="720" w:header="851" w:footer="850" w:gutter="0"/>
      <w:pgNumType w:fmt="numberInDash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numPr>
        <w:ilvl w:val="0"/>
        <w:numId w:val="0"/>
      </w:numPr>
      <w:autoSpaceDE/>
      <w:autoSpaceDN/>
      <w:snapToGrid w:val="0"/>
      <w:spacing w:before="0" w:after="160" w:line="240" w:lineRule="auto"/>
      <w:ind w:right="0" w:firstLine="0"/>
      <w:jc w:val="left"/>
      <w:rPr>
        <w:rFonts w:hint="default" w:ascii="Calibri" w:hAnsi="黑体" w:eastAsia="黑体"/>
        <w:color w:val="auto"/>
        <w:position w:val="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8"/>
      <w:numPr>
        <w:ilvl w:val="0"/>
        <w:numId w:val="0"/>
      </w:numPr>
      <w:autoSpaceDE/>
      <w:autoSpaceDN/>
      <w:snapToGrid w:val="0"/>
      <w:spacing w:before="0" w:after="160" w:line="240" w:lineRule="auto"/>
      <w:ind w:right="0" w:firstLine="0"/>
      <w:jc w:val="left"/>
      <w:rPr>
        <w:rFonts w:hint="default" w:ascii="Calibri" w:hAnsi="黑体" w:eastAsia="黑体"/>
        <w:color w:val="auto"/>
        <w:position w:val="0"/>
        <w:sz w:val="18"/>
        <w:szCs w:val="1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numPr>
        <w:ilvl w:val="0"/>
        <w:numId w:val="0"/>
      </w:numPr>
      <w:pBdr>
        <w:bottom w:val="none" w:color="000000" w:sz="0" w:space="0"/>
      </w:pBdr>
      <w:autoSpaceDE/>
      <w:autoSpaceDN/>
      <w:snapToGrid w:val="0"/>
      <w:spacing w:before="0" w:after="160" w:line="240" w:lineRule="auto"/>
      <w:ind w:right="0" w:firstLine="0"/>
      <w:jc w:val="center"/>
      <w:rPr>
        <w:rFonts w:hint="default" w:ascii="Calibri" w:hAnsi="黑体" w:eastAsia="黑体"/>
        <w:color w:val="auto"/>
        <w:positio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420"/>
  <w:evenAndOddHeaders w:val="1"/>
  <w:displayHorizontalDrawingGridEvery w:val="0"/>
  <w:displayVerticalDrawingGridEvery w:val="2"/>
  <w:characterSpacingControl w:val="compressPunctuation"/>
  <w:compat>
    <w:balanceSingleByteDoubleByteWidth/>
    <w:doNotExpandShiftReturn/>
    <w:adjustLineHeightInTable/>
    <w:useFELayout/>
    <w:compatSetting w:name="compatibilityMode" w:uri="http://schemas.microsoft.com/office/word" w:val="14"/>
  </w:compat>
  <w:rsids>
    <w:rsidRoot w:val="00000000"/>
    <w:rsid w:val="094055F3"/>
    <w:rsid w:val="15B83CF8"/>
    <w:rsid w:val="2580662E"/>
    <w:rsid w:val="2CA469BB"/>
    <w:rsid w:val="340C3DAB"/>
    <w:rsid w:val="35AF7107"/>
    <w:rsid w:val="72077121"/>
    <w:rsid w:val="75BE0755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155" w:semiHidden="0" w:name="header"/>
    <w:lsdException w:qFormat="1" w:uiPriority="154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157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6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qFormat="1" w:unhideWhenUsed="0" w:uiPriority="15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6" w:semiHidden="0" w:name="Subtitle"/>
    <w:lsdException w:unhideWhenUsed="0" w:uiPriority="0" w:semiHidden="0" w:name="Salutation"/>
    <w:lsdException w:qFormat="1" w:uiPriority="152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158" w:semiHidden="0" w:name="Hyperlink"/>
    <w:lsdException w:unhideWhenUsed="0" w:uiPriority="0" w:semiHidden="0" w:name="FollowedHyperlink"/>
    <w:lsdException w:qFormat="1" w:unhideWhenUsed="0" w:uiPriority="20" w:semiHidden="0" w:name="Strong"/>
    <w:lsdException w:qFormat="1" w:unhideWhenUsed="0" w:uiPriority="18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156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3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iPriority="153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/>
      <w:wordWrap/>
      <w:autoSpaceDE/>
      <w:autoSpaceDN/>
      <w:jc w:val="both"/>
    </w:pPr>
    <w:rPr>
      <w:rFonts w:ascii="Calibri" w:hAnsi="Calibri" w:eastAsia="黑体" w:cs="Times New Roman"/>
      <w:w w:val="100"/>
      <w:sz w:val="21"/>
      <w:szCs w:val="21"/>
      <w:shd w:val="clear"/>
    </w:rPr>
  </w:style>
  <w:style w:type="paragraph" w:styleId="2">
    <w:name w:val="heading 1"/>
    <w:next w:val="1"/>
    <w:qFormat/>
    <w:uiPriority w:val="7"/>
    <w:pPr>
      <w:widowControl/>
      <w:wordWrap/>
      <w:autoSpaceDE/>
      <w:autoSpaceDN/>
      <w:jc w:val="both"/>
    </w:pPr>
    <w:rPr>
      <w:rFonts w:ascii="Times New Roman" w:hAnsi="Times New Roman" w:eastAsia="Times New Roman" w:cs="Times New Roman"/>
      <w:w w:val="100"/>
      <w:sz w:val="28"/>
      <w:szCs w:val="28"/>
      <w:shd w:val="clear"/>
    </w:rPr>
  </w:style>
  <w:style w:type="paragraph" w:styleId="3">
    <w:name w:val="heading 2"/>
    <w:next w:val="1"/>
    <w:qFormat/>
    <w:uiPriority w:val="8"/>
    <w:pPr>
      <w:widowControl/>
      <w:wordWrap/>
      <w:autoSpaceDE/>
      <w:autoSpaceDN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4">
    <w:name w:val="heading 3"/>
    <w:next w:val="1"/>
    <w:qFormat/>
    <w:uiPriority w:val="9"/>
    <w:pPr>
      <w:widowControl/>
      <w:wordWrap/>
      <w:autoSpaceDE/>
      <w:autoSpaceDN/>
      <w:ind w:left="1000" w:hanging="40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5">
    <w:name w:val="heading 4"/>
    <w:next w:val="1"/>
    <w:qFormat/>
    <w:uiPriority w:val="10"/>
    <w:pPr>
      <w:widowControl/>
      <w:wordWrap/>
      <w:autoSpaceDE/>
      <w:autoSpaceDN/>
      <w:ind w:left="1200" w:hanging="400"/>
      <w:jc w:val="both"/>
    </w:pPr>
    <w:rPr>
      <w:rFonts w:ascii="Times New Roman" w:hAnsi="Times New Roman" w:eastAsia="Times New Roman" w:cs="Times New Roman"/>
      <w:b/>
      <w:w w:val="100"/>
      <w:sz w:val="21"/>
      <w:szCs w:val="21"/>
      <w:shd w:val="clear"/>
    </w:rPr>
  </w:style>
  <w:style w:type="paragraph" w:styleId="6">
    <w:name w:val="heading 5"/>
    <w:next w:val="1"/>
    <w:qFormat/>
    <w:uiPriority w:val="11"/>
    <w:pPr>
      <w:widowControl/>
      <w:wordWrap/>
      <w:autoSpaceDE/>
      <w:autoSpaceDN/>
      <w:ind w:left="1400" w:hanging="40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7">
    <w:name w:val="heading 6"/>
    <w:next w:val="1"/>
    <w:qFormat/>
    <w:uiPriority w:val="12"/>
    <w:pPr>
      <w:widowControl/>
      <w:wordWrap/>
      <w:autoSpaceDE/>
      <w:autoSpaceDN/>
      <w:ind w:left="1600" w:hanging="400"/>
      <w:jc w:val="both"/>
    </w:pPr>
    <w:rPr>
      <w:rFonts w:ascii="Times New Roman" w:hAnsi="Times New Roman" w:eastAsia="Times New Roman" w:cs="Times New Roman"/>
      <w:b/>
      <w:w w:val="100"/>
      <w:sz w:val="21"/>
      <w:szCs w:val="21"/>
      <w:shd w:val="clear"/>
    </w:rPr>
  </w:style>
  <w:style w:type="paragraph" w:styleId="8">
    <w:name w:val="heading 7"/>
    <w:next w:val="1"/>
    <w:qFormat/>
    <w:uiPriority w:val="13"/>
    <w:pPr>
      <w:widowControl/>
      <w:wordWrap/>
      <w:autoSpaceDE/>
      <w:autoSpaceDN/>
      <w:ind w:left="1800" w:hanging="40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9">
    <w:name w:val="heading 8"/>
    <w:next w:val="1"/>
    <w:qFormat/>
    <w:uiPriority w:val="14"/>
    <w:pPr>
      <w:widowControl/>
      <w:wordWrap/>
      <w:autoSpaceDE/>
      <w:autoSpaceDN/>
      <w:ind w:left="2000" w:hanging="40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0">
    <w:name w:val="heading 9"/>
    <w:next w:val="1"/>
    <w:qFormat/>
    <w:uiPriority w:val="15"/>
    <w:pPr>
      <w:widowControl/>
      <w:wordWrap/>
      <w:autoSpaceDE/>
      <w:autoSpaceDN/>
      <w:ind w:left="2200" w:hanging="40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character" w:default="1" w:styleId="29">
    <w:name w:val="Default Paragraph Font"/>
    <w:semiHidden/>
    <w:unhideWhenUsed/>
    <w:qFormat/>
    <w:uiPriority w:val="2"/>
  </w:style>
  <w:style w:type="table" w:default="1" w:styleId="28">
    <w:name w:val="Normal Table"/>
    <w:semiHidden/>
    <w:unhideWhenUsed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widowControl/>
      <w:wordWrap/>
      <w:autoSpaceDE/>
      <w:autoSpaceDN/>
      <w:ind w:left="2550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2">
    <w:name w:val="Body Text"/>
    <w:basedOn w:val="1"/>
    <w:link w:val="48"/>
    <w:qFormat/>
    <w:uiPriority w:val="151"/>
    <w:pPr>
      <w:widowControl/>
      <w:wordWrap/>
      <w:autoSpaceDE/>
      <w:autoSpaceDN/>
      <w:ind w:right="34" w:firstLine="0"/>
      <w:jc w:val="center"/>
    </w:pPr>
    <w:rPr>
      <w:rFonts w:ascii="宋体" w:hAnsi="宋体" w:eastAsia="Times New Roman"/>
      <w:b/>
      <w:spacing w:val="-10"/>
      <w:w w:val="100"/>
      <w:sz w:val="18"/>
      <w:szCs w:val="18"/>
      <w:shd w:val="clear"/>
    </w:rPr>
  </w:style>
  <w:style w:type="paragraph" w:styleId="13">
    <w:name w:val="toc 5"/>
    <w:next w:val="1"/>
    <w:unhideWhenUsed/>
    <w:qFormat/>
    <w:uiPriority w:val="32"/>
    <w:pPr>
      <w:widowControl/>
      <w:wordWrap/>
      <w:autoSpaceDE/>
      <w:autoSpaceDN/>
      <w:ind w:left="1700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4">
    <w:name w:val="toc 3"/>
    <w:next w:val="1"/>
    <w:unhideWhenUsed/>
    <w:qFormat/>
    <w:uiPriority w:val="30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5">
    <w:name w:val="toc 8"/>
    <w:next w:val="1"/>
    <w:unhideWhenUsed/>
    <w:qFormat/>
    <w:uiPriority w:val="35"/>
    <w:pPr>
      <w:widowControl/>
      <w:wordWrap/>
      <w:autoSpaceDE/>
      <w:autoSpaceDN/>
      <w:ind w:left="2975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16">
    <w:name w:val="Date"/>
    <w:basedOn w:val="1"/>
    <w:next w:val="1"/>
    <w:link w:val="49"/>
    <w:unhideWhenUsed/>
    <w:qFormat/>
    <w:uiPriority w:val="152"/>
    <w:pPr>
      <w:widowControl/>
      <w:wordWrap/>
      <w:autoSpaceDE/>
      <w:autoSpaceDN/>
      <w:ind w:left="100" w:firstLine="0"/>
    </w:pPr>
  </w:style>
  <w:style w:type="paragraph" w:styleId="17">
    <w:name w:val="Balloon Text"/>
    <w:basedOn w:val="1"/>
    <w:link w:val="47"/>
    <w:unhideWhenUsed/>
    <w:qFormat/>
    <w:uiPriority w:val="153"/>
    <w:rPr>
      <w:w w:val="100"/>
      <w:sz w:val="18"/>
      <w:szCs w:val="18"/>
      <w:shd w:val="clear"/>
    </w:rPr>
  </w:style>
  <w:style w:type="paragraph" w:styleId="18">
    <w:name w:val="footer"/>
    <w:basedOn w:val="1"/>
    <w:link w:val="46"/>
    <w:unhideWhenUsed/>
    <w:qFormat/>
    <w:uiPriority w:val="154"/>
    <w:pPr>
      <w:widowControl/>
      <w:tabs>
        <w:tab w:val="center" w:pos="4153"/>
        <w:tab w:val="right" w:pos="8306"/>
      </w:tabs>
      <w:wordWrap/>
      <w:autoSpaceDE/>
      <w:autoSpaceDN/>
    </w:pPr>
    <w:rPr>
      <w:w w:val="100"/>
      <w:sz w:val="18"/>
      <w:szCs w:val="18"/>
      <w:shd w:val="clear"/>
    </w:rPr>
  </w:style>
  <w:style w:type="paragraph" w:styleId="19">
    <w:name w:val="header"/>
    <w:basedOn w:val="1"/>
    <w:link w:val="45"/>
    <w:unhideWhenUsed/>
    <w:qFormat/>
    <w:uiPriority w:val="155"/>
    <w:pPr>
      <w:widowControl/>
      <w:tabs>
        <w:tab w:val="center" w:pos="4153"/>
        <w:tab w:val="right" w:pos="8306"/>
      </w:tabs>
      <w:wordWrap/>
      <w:autoSpaceDE/>
      <w:autoSpaceDN/>
      <w:jc w:val="center"/>
    </w:pPr>
    <w:rPr>
      <w:w w:val="100"/>
      <w:sz w:val="18"/>
      <w:szCs w:val="18"/>
      <w:shd w:val="clear"/>
    </w:rPr>
  </w:style>
  <w:style w:type="paragraph" w:styleId="20">
    <w:name w:val="toc 1"/>
    <w:next w:val="1"/>
    <w:unhideWhenUsed/>
    <w:qFormat/>
    <w:uiPriority w:val="28"/>
    <w:pPr>
      <w:widowControl/>
      <w:wordWrap/>
      <w:autoSpaceDE/>
      <w:autoSpaceDN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21">
    <w:name w:val="toc 4"/>
    <w:next w:val="1"/>
    <w:unhideWhenUsed/>
    <w:qFormat/>
    <w:uiPriority w:val="31"/>
    <w:pPr>
      <w:widowControl/>
      <w:wordWrap/>
      <w:autoSpaceDE/>
      <w:autoSpaceDN/>
      <w:ind w:left="1275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22">
    <w:name w:val="Subtitle"/>
    <w:qFormat/>
    <w:uiPriority w:val="16"/>
    <w:pPr>
      <w:widowControl/>
      <w:wordWrap/>
      <w:autoSpaceDE/>
      <w:autoSpaceDN/>
      <w:jc w:val="center"/>
    </w:pPr>
    <w:rPr>
      <w:rFonts w:ascii="Times New Roman" w:hAnsi="Times New Roman" w:eastAsia="Times New Roman" w:cs="Times New Roman"/>
      <w:w w:val="100"/>
      <w:sz w:val="24"/>
      <w:szCs w:val="24"/>
      <w:shd w:val="clear"/>
    </w:rPr>
  </w:style>
  <w:style w:type="paragraph" w:styleId="23">
    <w:name w:val="toc 6"/>
    <w:next w:val="1"/>
    <w:unhideWhenUsed/>
    <w:qFormat/>
    <w:uiPriority w:val="33"/>
    <w:pPr>
      <w:widowControl/>
      <w:wordWrap/>
      <w:autoSpaceDE/>
      <w:autoSpaceDN/>
      <w:ind w:left="2125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24">
    <w:name w:val="toc 2"/>
    <w:next w:val="1"/>
    <w:unhideWhenUsed/>
    <w:qFormat/>
    <w:uiPriority w:val="29"/>
    <w:pPr>
      <w:widowControl/>
      <w:wordWrap/>
      <w:autoSpaceDE/>
      <w:autoSpaceDN/>
      <w:ind w:left="425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25">
    <w:name w:val="toc 9"/>
    <w:next w:val="1"/>
    <w:unhideWhenUsed/>
    <w:qFormat/>
    <w:uiPriority w:val="36"/>
    <w:pPr>
      <w:widowControl/>
      <w:wordWrap/>
      <w:autoSpaceDE/>
      <w:autoSpaceDN/>
      <w:ind w:left="3400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styleId="26">
    <w:name w:val="Normal (Web)"/>
    <w:basedOn w:val="1"/>
    <w:qFormat/>
    <w:uiPriority w:val="156"/>
    <w:pPr>
      <w:widowControl/>
      <w:wordWrap/>
      <w:autoSpaceDE/>
      <w:autoSpaceDN/>
    </w:pPr>
    <w:rPr>
      <w:rFonts w:ascii="宋体" w:hAnsi="宋体" w:eastAsia="宋体"/>
      <w:w w:val="100"/>
      <w:sz w:val="24"/>
      <w:szCs w:val="24"/>
      <w:shd w:val="clear"/>
    </w:rPr>
  </w:style>
  <w:style w:type="paragraph" w:styleId="27">
    <w:name w:val="Title"/>
    <w:qFormat/>
    <w:uiPriority w:val="6"/>
    <w:pPr>
      <w:widowControl/>
      <w:wordWrap/>
      <w:autoSpaceDE/>
      <w:autoSpaceDN/>
      <w:jc w:val="center"/>
    </w:pPr>
    <w:rPr>
      <w:rFonts w:ascii="Times New Roman" w:hAnsi="Times New Roman" w:eastAsia="Times New Roman" w:cs="Times New Roman"/>
      <w:b/>
      <w:w w:val="100"/>
      <w:sz w:val="32"/>
      <w:szCs w:val="32"/>
      <w:shd w:val="clear"/>
    </w:rPr>
  </w:style>
  <w:style w:type="character" w:styleId="30">
    <w:name w:val="Strong"/>
    <w:qFormat/>
    <w:uiPriority w:val="20"/>
    <w:rPr>
      <w:b/>
      <w:w w:val="100"/>
      <w:sz w:val="20"/>
      <w:szCs w:val="20"/>
      <w:shd w:val="clear"/>
    </w:rPr>
  </w:style>
  <w:style w:type="character" w:styleId="31">
    <w:name w:val="page number"/>
    <w:basedOn w:val="29"/>
    <w:qFormat/>
    <w:uiPriority w:val="157"/>
  </w:style>
  <w:style w:type="character" w:styleId="32">
    <w:name w:val="Emphasis"/>
    <w:qFormat/>
    <w:uiPriority w:val="18"/>
    <w:rPr>
      <w:i/>
      <w:w w:val="100"/>
      <w:sz w:val="21"/>
      <w:szCs w:val="21"/>
      <w:shd w:val="clear"/>
    </w:rPr>
  </w:style>
  <w:style w:type="character" w:styleId="33">
    <w:name w:val="Hyperlink"/>
    <w:unhideWhenUsed/>
    <w:qFormat/>
    <w:uiPriority w:val="158"/>
    <w:rPr>
      <w:color w:val="0000FF"/>
      <w:w w:val="100"/>
      <w:sz w:val="20"/>
      <w:szCs w:val="20"/>
      <w:u w:val="single"/>
      <w:shd w:val="clear"/>
    </w:rPr>
  </w:style>
  <w:style w:type="paragraph" w:styleId="34">
    <w:name w:val="No Spacing"/>
    <w:qFormat/>
    <w:uiPriority w:val="5"/>
    <w:pPr>
      <w:widowControl/>
      <w:wordWrap/>
      <w:autoSpaceDE/>
      <w:autoSpaceDN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character" w:customStyle="1" w:styleId="35">
    <w:name w:val="Subtle Emphasis"/>
    <w:qFormat/>
    <w:uiPriority w:val="17"/>
    <w:rPr>
      <w:i/>
      <w:color w:val="404040"/>
      <w:w w:val="100"/>
      <w:sz w:val="21"/>
      <w:szCs w:val="21"/>
      <w:shd w:val="clear"/>
    </w:rPr>
  </w:style>
  <w:style w:type="character" w:customStyle="1" w:styleId="36">
    <w:name w:val="Intense Emphasis"/>
    <w:qFormat/>
    <w:uiPriority w:val="19"/>
    <w:rPr>
      <w:i/>
      <w:color w:val="5B9BD5"/>
      <w:w w:val="100"/>
      <w:sz w:val="21"/>
      <w:szCs w:val="21"/>
      <w:shd w:val="clear"/>
    </w:rPr>
  </w:style>
  <w:style w:type="paragraph" w:styleId="37">
    <w:name w:val="Quote"/>
    <w:qFormat/>
    <w:uiPriority w:val="21"/>
    <w:pPr>
      <w:widowControl/>
      <w:wordWrap/>
      <w:autoSpaceDE/>
      <w:autoSpaceDN/>
      <w:ind w:left="864" w:right="864" w:firstLine="0"/>
      <w:jc w:val="center"/>
    </w:pPr>
    <w:rPr>
      <w:rFonts w:ascii="Times New Roman" w:hAnsi="Times New Roman" w:eastAsia="Times New Roman" w:cs="Times New Roman"/>
      <w:i/>
      <w:color w:val="404040"/>
      <w:w w:val="100"/>
      <w:sz w:val="21"/>
      <w:szCs w:val="21"/>
      <w:shd w:val="clear"/>
    </w:rPr>
  </w:style>
  <w:style w:type="paragraph" w:styleId="38">
    <w:name w:val="Intense Quote"/>
    <w:qFormat/>
    <w:uiPriority w:val="22"/>
    <w:pPr>
      <w:widowControl/>
      <w:wordWrap/>
      <w:autoSpaceDE/>
      <w:autoSpaceDN/>
      <w:ind w:left="950" w:right="950" w:firstLine="0"/>
      <w:jc w:val="center"/>
    </w:pPr>
    <w:rPr>
      <w:rFonts w:ascii="Times New Roman" w:hAnsi="Times New Roman" w:eastAsia="Times New Roman" w:cs="Times New Roman"/>
      <w:i/>
      <w:color w:val="5B9BD5"/>
      <w:w w:val="100"/>
      <w:sz w:val="21"/>
      <w:szCs w:val="21"/>
      <w:shd w:val="clear"/>
    </w:rPr>
  </w:style>
  <w:style w:type="character" w:customStyle="1" w:styleId="39">
    <w:name w:val="Subtle Reference"/>
    <w:qFormat/>
    <w:uiPriority w:val="23"/>
    <w:rPr>
      <w:smallCaps/>
      <w:color w:val="5A5A5A"/>
      <w:w w:val="100"/>
      <w:sz w:val="21"/>
      <w:szCs w:val="21"/>
      <w:shd w:val="clear"/>
    </w:rPr>
  </w:style>
  <w:style w:type="character" w:customStyle="1" w:styleId="40">
    <w:name w:val="Intense Reference"/>
    <w:qFormat/>
    <w:uiPriority w:val="24"/>
    <w:rPr>
      <w:b/>
      <w:smallCaps/>
      <w:color w:val="5B9BD5"/>
      <w:w w:val="100"/>
      <w:sz w:val="21"/>
      <w:szCs w:val="21"/>
      <w:shd w:val="clear"/>
    </w:rPr>
  </w:style>
  <w:style w:type="character" w:customStyle="1" w:styleId="41">
    <w:name w:val="Book Title"/>
    <w:qFormat/>
    <w:uiPriority w:val="25"/>
    <w:rPr>
      <w:b/>
      <w:i/>
      <w:w w:val="100"/>
      <w:sz w:val="21"/>
      <w:szCs w:val="21"/>
      <w:shd w:val="clear"/>
    </w:rPr>
  </w:style>
  <w:style w:type="paragraph" w:styleId="42">
    <w:name w:val="List Paragraph"/>
    <w:qFormat/>
    <w:uiPriority w:val="26"/>
    <w:pPr>
      <w:widowControl/>
      <w:wordWrap/>
      <w:autoSpaceDE/>
      <w:autoSpaceDN/>
      <w:ind w:left="850" w:firstLine="0"/>
      <w:jc w:val="both"/>
    </w:pPr>
    <w:rPr>
      <w:rFonts w:ascii="Times New Roman" w:hAnsi="Times New Roman" w:eastAsia="Times New Roman" w:cs="Times New Roman"/>
      <w:w w:val="100"/>
      <w:sz w:val="21"/>
      <w:szCs w:val="21"/>
      <w:shd w:val="clear"/>
    </w:rPr>
  </w:style>
  <w:style w:type="paragraph" w:customStyle="1" w:styleId="43">
    <w:name w:val="TOC Heading"/>
    <w:unhideWhenUsed/>
    <w:qFormat/>
    <w:uiPriority w:val="27"/>
    <w:pPr>
      <w:widowControl/>
      <w:wordWrap/>
      <w:autoSpaceDE/>
      <w:autoSpaceDN/>
    </w:pPr>
    <w:rPr>
      <w:rFonts w:ascii="Times New Roman" w:hAnsi="Times New Roman" w:eastAsia="Times New Roman" w:cs="Times New Roman"/>
      <w:color w:val="2E74B5"/>
      <w:w w:val="100"/>
      <w:sz w:val="32"/>
      <w:szCs w:val="32"/>
      <w:shd w:val="clear"/>
    </w:rPr>
  </w:style>
  <w:style w:type="paragraph" w:customStyle="1" w:styleId="44">
    <w:name w:val="列出段落1"/>
    <w:basedOn w:val="1"/>
    <w:qFormat/>
    <w:uiPriority w:val="159"/>
    <w:pPr>
      <w:widowControl/>
      <w:wordWrap/>
      <w:autoSpaceDE/>
      <w:autoSpaceDN/>
      <w:ind w:firstLine="420"/>
    </w:pPr>
  </w:style>
  <w:style w:type="character" w:customStyle="1" w:styleId="45">
    <w:name w:val="页眉 Char"/>
    <w:link w:val="19"/>
    <w:qFormat/>
    <w:uiPriority w:val="160"/>
    <w:rPr>
      <w:w w:val="100"/>
      <w:sz w:val="18"/>
      <w:szCs w:val="18"/>
      <w:shd w:val="clear"/>
    </w:rPr>
  </w:style>
  <w:style w:type="character" w:customStyle="1" w:styleId="46">
    <w:name w:val="页脚 Char"/>
    <w:link w:val="18"/>
    <w:qFormat/>
    <w:uiPriority w:val="161"/>
    <w:rPr>
      <w:w w:val="100"/>
      <w:sz w:val="18"/>
      <w:szCs w:val="18"/>
      <w:shd w:val="clear"/>
    </w:rPr>
  </w:style>
  <w:style w:type="character" w:customStyle="1" w:styleId="47">
    <w:name w:val="批注框文本 Char"/>
    <w:link w:val="17"/>
    <w:semiHidden/>
    <w:qFormat/>
    <w:uiPriority w:val="162"/>
    <w:rPr>
      <w:w w:val="100"/>
      <w:sz w:val="18"/>
      <w:szCs w:val="18"/>
      <w:shd w:val="clear"/>
    </w:rPr>
  </w:style>
  <w:style w:type="character" w:customStyle="1" w:styleId="48">
    <w:name w:val="正文文本 Char"/>
    <w:link w:val="12"/>
    <w:qFormat/>
    <w:uiPriority w:val="163"/>
    <w:rPr>
      <w:rFonts w:ascii="宋体" w:hAnsi="宋体" w:eastAsia="Times New Roman"/>
      <w:b/>
      <w:spacing w:val="-10"/>
      <w:w w:val="100"/>
      <w:sz w:val="18"/>
      <w:szCs w:val="18"/>
      <w:shd w:val="clear"/>
    </w:rPr>
  </w:style>
  <w:style w:type="character" w:customStyle="1" w:styleId="49">
    <w:name w:val="日期 Char"/>
    <w:link w:val="16"/>
    <w:semiHidden/>
    <w:qFormat/>
    <w:uiPriority w:val="164"/>
    <w:rPr>
      <w:rFonts w:ascii="Calibri" w:hAnsi="Calibri" w:eastAsia="黑体"/>
      <w:w w:val="100"/>
      <w:sz w:val="21"/>
      <w:szCs w:val="21"/>
      <w:shd w:val="clear"/>
    </w:rPr>
  </w:style>
  <w:style w:type="character" w:customStyle="1" w:styleId="50">
    <w:name w:val="font61"/>
    <w:basedOn w:val="29"/>
    <w:qFormat/>
    <w:uiPriority w:val="165"/>
    <w:rPr>
      <w:rFonts w:ascii="方正小标宋简体" w:hAnsi="方正小标宋简体" w:eastAsia="方正小标宋简体"/>
      <w:color w:val="000000"/>
      <w:w w:val="100"/>
      <w:sz w:val="28"/>
      <w:szCs w:val="28"/>
      <w:u w:val="none"/>
      <w:shd w:val="clear"/>
    </w:rPr>
  </w:style>
  <w:style w:type="character" w:customStyle="1" w:styleId="51">
    <w:name w:val="font71"/>
    <w:basedOn w:val="29"/>
    <w:uiPriority w:val="166"/>
    <w:rPr>
      <w:rFonts w:ascii="宋体" w:hAnsi="宋体" w:eastAsia="宋体"/>
      <w:color w:val="000000"/>
      <w:w w:val="100"/>
      <w:sz w:val="28"/>
      <w:szCs w:val="28"/>
      <w:u w:val="none"/>
      <w:shd w:val="cle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13</Pages>
  <Words>311</Words>
  <Characters>0</Characters>
  <Lines>14</Lines>
  <Paragraphs>4</Paragraphs>
  <TotalTime>6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2019-12-18T02:27:00Z</dcterms:created>
  <dc:creator>USER</dc:creator>
  <cp:lastModifiedBy>大少爺</cp:lastModifiedBy>
  <cp:lastPrinted>2019-12-31T09:02:29Z</cp:lastPrinted>
  <dcterms:modified xsi:type="dcterms:W3CDTF">2020-01-02T01:27:44Z</dcterms:modified>
  <dc:title>四川省人民政府法制办公室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